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highlight w:val="yellow"/>
          <w:rtl w:val="0"/>
        </w:rPr>
        <w:t xml:space="preserve">DOCUMENT 26</w:t>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sz w:val="22"/>
          <w:szCs w:val="22"/>
          <w:u w:val="single"/>
        </w:rPr>
      </w:pPr>
      <w:r w:rsidDel="00000000" w:rsidR="00000000" w:rsidRPr="00000000">
        <w:rPr>
          <w:rFonts w:ascii="Helvetica Neue" w:cs="Helvetica Neue" w:eastAsia="Helvetica Neue" w:hAnsi="Helvetica Neue"/>
          <w:sz w:val="22"/>
          <w:szCs w:val="22"/>
          <w:u w:val="single"/>
          <w:rtl w:val="0"/>
        </w:rPr>
        <w:t xml:space="preserve">LES BONNES PRATIQUES DE FABRICATION</w:t>
      </w:r>
    </w:p>
    <w:p w:rsidR="00000000" w:rsidDel="00000000" w:rsidP="00000000" w:rsidRDefault="00000000" w:rsidRPr="00000000" w14:paraId="00000007">
      <w:pPr>
        <w:jc w:val="cente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8">
      <w:pPr>
        <w:jc w:val="cente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(Synthèse du règlement (CE) n°2023/2006 du 22 décembre 2006)</w:t>
      </w:r>
    </w:p>
    <w:p w:rsidR="00000000" w:rsidDel="00000000" w:rsidP="00000000" w:rsidRDefault="00000000" w:rsidRPr="00000000" w14:paraId="00000009">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spacing w:after="280" w:before="28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u w:val="single"/>
          <w:rtl w:val="0"/>
        </w:rPr>
        <w:t xml:space="preserve">Article 1</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b w:val="1"/>
          <w:sz w:val="22"/>
          <w:szCs w:val="22"/>
          <w:rtl w:val="0"/>
        </w:rPr>
        <w:t xml:space="preserve">Objet</w:t>
      </w:r>
      <w:r w:rsidDel="00000000" w:rsidR="00000000" w:rsidRPr="00000000">
        <w:rPr>
          <w:rFonts w:ascii="Helvetica Neue" w:cs="Helvetica Neue" w:eastAsia="Helvetica Neue" w:hAnsi="Helvetica Neue"/>
          <w:sz w:val="22"/>
          <w:szCs w:val="22"/>
          <w:rtl w:val="0"/>
        </w:rPr>
        <w:t xml:space="preserve"> : le présent règlement établit les règles relatives aux bonnes pratiques de fabrication (BPF) des groupes de matériaux et d'objets destinés à entrer en contact avec des denrées alimentaires (si après dénommé matériaux et objet) figurant à l'annexe 1 du règlement (CE) n° 1935/2004 et des combinaisons de ses matériaux et objet ou des matériaux et objets recyclés utilisé dans ses matériaux et objet.</w:t>
      </w:r>
    </w:p>
    <w:p w:rsidR="00000000" w:rsidDel="00000000" w:rsidP="00000000" w:rsidRDefault="00000000" w:rsidRPr="00000000" w14:paraId="0000000B">
      <w:pPr>
        <w:spacing w:after="280" w:before="280" w:lineRule="auto"/>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0C">
      <w:pPr>
        <w:spacing w:after="280" w:before="28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u w:val="single"/>
          <w:rtl w:val="0"/>
        </w:rPr>
        <w:t xml:space="preserve">Article 2</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b w:val="1"/>
          <w:sz w:val="22"/>
          <w:szCs w:val="22"/>
          <w:rtl w:val="0"/>
        </w:rPr>
        <w:t xml:space="preserve">Champ d'application</w:t>
      </w:r>
      <w:r w:rsidDel="00000000" w:rsidR="00000000" w:rsidRPr="00000000">
        <w:rPr>
          <w:rFonts w:ascii="Helvetica Neue" w:cs="Helvetica Neue" w:eastAsia="Helvetica Neue" w:hAnsi="Helvetica Neue"/>
          <w:sz w:val="22"/>
          <w:szCs w:val="22"/>
          <w:rtl w:val="0"/>
        </w:rPr>
        <w:t xml:space="preserve"> : le présent règlement s'applique à tous les secteurs et à tous les stades de la fabrication, de la transformation et de la distribution des matériaux et objet, jusqu'à la production de substances de départ, celles-ci non comprise</w:t>
        <w:br w:type="textWrapping"/>
        <w:br w:type="textWrapping"/>
      </w:r>
    </w:p>
    <w:p w:rsidR="00000000" w:rsidDel="00000000" w:rsidP="00000000" w:rsidRDefault="00000000" w:rsidRPr="00000000" w14:paraId="0000000D">
      <w:pPr>
        <w:spacing w:after="280" w:before="280" w:lineRule="auto"/>
        <w:rPr>
          <w:rFonts w:ascii="Helvetica Neue" w:cs="Helvetica Neue" w:eastAsia="Helvetica Neue" w:hAnsi="Helvetica Neue"/>
          <w:b w:val="1"/>
          <w:sz w:val="22"/>
          <w:szCs w:val="22"/>
          <w:u w:val="single"/>
        </w:rPr>
      </w:pPr>
      <w:bookmarkStart w:colFirst="0" w:colLast="0" w:name="_heading=h.gjdgxs" w:id="0"/>
      <w:bookmarkEnd w:id="0"/>
      <w:r w:rsidDel="00000000" w:rsidR="00000000" w:rsidRPr="00000000">
        <w:rPr>
          <w:rFonts w:ascii="Helvetica Neue" w:cs="Helvetica Neue" w:eastAsia="Helvetica Neue" w:hAnsi="Helvetica Neue"/>
          <w:b w:val="1"/>
          <w:sz w:val="22"/>
          <w:szCs w:val="22"/>
          <w:u w:val="single"/>
          <w:rtl w:val="0"/>
        </w:rPr>
        <w:t xml:space="preserve">Article 3</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i w:val="1"/>
          <w:color w:val="3366ff"/>
          <w:sz w:val="22"/>
          <w:szCs w:val="22"/>
          <w:rtl w:val="0"/>
        </w:rPr>
        <w:t xml:space="preserve">Ce sont des définitions, peu d'intérêt. Vous pouvez les lire in extenso dans le document 25.</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b w:val="1"/>
          <w:sz w:val="22"/>
          <w:szCs w:val="22"/>
          <w:u w:val="single"/>
          <w:rtl w:val="0"/>
        </w:rPr>
        <w:br w:type="textWrapping"/>
      </w:r>
    </w:p>
    <w:p w:rsidR="00000000" w:rsidDel="00000000" w:rsidP="00000000" w:rsidRDefault="00000000" w:rsidRPr="00000000" w14:paraId="0000000E">
      <w:pPr>
        <w:spacing w:after="280" w:before="280" w:lineRule="auto"/>
        <w:rPr>
          <w:rFonts w:ascii="Helvetica Neue" w:cs="Helvetica Neue" w:eastAsia="Helvetica Neue" w:hAnsi="Helvetica Neue"/>
          <w:i w:val="1"/>
          <w:color w:val="3366ff"/>
          <w:sz w:val="22"/>
          <w:szCs w:val="22"/>
        </w:rPr>
      </w:pPr>
      <w:r w:rsidDel="00000000" w:rsidR="00000000" w:rsidRPr="00000000">
        <w:rPr>
          <w:rFonts w:ascii="Helvetica Neue" w:cs="Helvetica Neue" w:eastAsia="Helvetica Neue" w:hAnsi="Helvetica Neue"/>
          <w:b w:val="1"/>
          <w:sz w:val="22"/>
          <w:szCs w:val="22"/>
          <w:u w:val="single"/>
          <w:rtl w:val="0"/>
        </w:rPr>
        <w:t xml:space="preserve">Article 4</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b w:val="1"/>
          <w:sz w:val="22"/>
          <w:szCs w:val="22"/>
          <w:rtl w:val="0"/>
        </w:rPr>
        <w:t xml:space="preserve">Conformité avec les bonnes pratiques de fabrication</w:t>
      </w:r>
      <w:r w:rsidDel="00000000" w:rsidR="00000000" w:rsidRPr="00000000">
        <w:rPr>
          <w:rFonts w:ascii="Helvetica Neue" w:cs="Helvetica Neue" w:eastAsia="Helvetica Neue" w:hAnsi="Helvetica Neue"/>
          <w:sz w:val="22"/>
          <w:szCs w:val="22"/>
          <w:rtl w:val="0"/>
        </w:rPr>
        <w:t xml:space="preserve"> : l'exploitant d'entreprise assure que les opérations de fabrication sont réalisées conformément</w:t>
        <w:br w:type="textWrapping"/>
        <w:t xml:space="preserve">     - a) Aux règles générales relatives au BPF prévues aux articles 5, 6 et 7</w:t>
        <w:br w:type="textWrapping"/>
        <w:t xml:space="preserve">     - b) Aux règles détaillées relatives au BPF énoncé en annexe </w:t>
      </w:r>
      <w:r w:rsidDel="00000000" w:rsidR="00000000" w:rsidRPr="00000000">
        <w:rPr>
          <w:rFonts w:ascii="Helvetica Neue" w:cs="Helvetica Neue" w:eastAsia="Helvetica Neue" w:hAnsi="Helvetica Neue"/>
          <w:i w:val="1"/>
          <w:color w:val="3366ff"/>
          <w:sz w:val="22"/>
          <w:szCs w:val="22"/>
          <w:rtl w:val="0"/>
        </w:rPr>
        <w:t xml:space="preserve">(à propos des encres d'imprimerie qui pourraient être en contact avec les aliments donc à priori, ne nous concerne pas).</w:t>
        <w:br w:type="textWrapping"/>
        <w:br w:type="textWrapping"/>
      </w:r>
    </w:p>
    <w:p w:rsidR="00000000" w:rsidDel="00000000" w:rsidP="00000000" w:rsidRDefault="00000000" w:rsidRPr="00000000" w14:paraId="0000000F">
      <w:pPr>
        <w:spacing w:after="280" w:before="28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u w:val="single"/>
          <w:rtl w:val="0"/>
        </w:rPr>
        <w:t xml:space="preserve">Article 5 </w:t>
      </w:r>
      <w:r w:rsidDel="00000000" w:rsidR="00000000" w:rsidRPr="00000000">
        <w:rPr>
          <w:rFonts w:ascii="Helvetica Neue" w:cs="Helvetica Neue" w:eastAsia="Helvetica Neue" w:hAnsi="Helvetica Neue"/>
          <w:color w:val="211e1e"/>
          <w:sz w:val="22"/>
          <w:szCs w:val="22"/>
          <w:rtl w:val="0"/>
        </w:rPr>
        <w:br w:type="textWrapping"/>
      </w:r>
      <w:r w:rsidDel="00000000" w:rsidR="00000000" w:rsidRPr="00000000">
        <w:rPr>
          <w:rFonts w:ascii="Helvetica Neue" w:cs="Helvetica Neue" w:eastAsia="Helvetica Neue" w:hAnsi="Helvetica Neue"/>
          <w:b w:val="1"/>
          <w:sz w:val="22"/>
          <w:szCs w:val="22"/>
          <w:rtl w:val="0"/>
        </w:rPr>
        <w:t xml:space="preserve">Système d'assurance de la qualité :</w:t>
      </w:r>
      <w:r w:rsidDel="00000000" w:rsidR="00000000" w:rsidRPr="00000000">
        <w:rPr>
          <w:rFonts w:ascii="Helvetica Neue" w:cs="Helvetica Neue" w:eastAsia="Helvetica Neue" w:hAnsi="Helvetica Neue"/>
          <w:b w:val="1"/>
          <w:sz w:val="22"/>
          <w:szCs w:val="22"/>
          <w:u w:val="single"/>
          <w:rtl w:val="0"/>
        </w:rPr>
        <w:br w:type="textWrapping"/>
      </w:r>
      <w:r w:rsidDel="00000000" w:rsidR="00000000" w:rsidRPr="00000000">
        <w:rPr>
          <w:rFonts w:ascii="Helvetica Neue" w:cs="Helvetica Neue" w:eastAsia="Helvetica Neue" w:hAnsi="Helvetica Neue"/>
          <w:sz w:val="22"/>
          <w:szCs w:val="22"/>
          <w:rtl w:val="0"/>
        </w:rPr>
        <w:t xml:space="preserve">1. L'exploitant d'entreprise établit et met en œuvre un système d'assurance de la qualité efficace et documenté et il veille au respect de celui-ci. Ce système doit :</w:t>
        <w:br w:type="textWrapping"/>
        <w:t xml:space="preserve">     - a) tenir compte du nombre adéquat de membres du personnel, de leurs connaissances et compétences ainsi que de l'organisation des locaux et des équipements dans toutes les mesures nécessaires pour garantir que les matériaux et objets finis satisfont aux règles qui leur sont applicables.</w:t>
        <w:br w:type="textWrapping"/>
        <w:t xml:space="preserve">     - b) être appliquée en tenant compte de la taille de l'entreprise gérée par l'exploitant, de manière à ne pas représenter une charge excessive pour l'entreprise.</w:t>
        <w:br w:type="textWrapping"/>
        <w:br w:type="textWrapping"/>
        <w:t xml:space="preserve">2. Les matières premières sont sélectionnées et satisfont aux spécifications préétablies qui garantissent la conformité du matériau ou de l'objet avec les règles qui lui sont applicables.</w:t>
      </w:r>
      <w:r w:rsidDel="00000000" w:rsidR="00000000" w:rsidRPr="00000000">
        <w:rPr>
          <w:rFonts w:ascii="Helvetica Neue" w:cs="Helvetica Neue" w:eastAsia="Helvetica Neue" w:hAnsi="Helvetica Neue"/>
          <w:color w:val="211e1e"/>
          <w:sz w:val="22"/>
          <w:szCs w:val="22"/>
          <w:rtl w:val="0"/>
        </w:rPr>
        <w:br w:type="textWrapping"/>
      </w:r>
      <w:r w:rsidDel="00000000" w:rsidR="00000000" w:rsidRPr="00000000">
        <w:rPr>
          <w:rFonts w:ascii="Helvetica Neue" w:cs="Helvetica Neue" w:eastAsia="Helvetica Neue" w:hAnsi="Helvetica Neue"/>
          <w:sz w:val="22"/>
          <w:szCs w:val="22"/>
          <w:rtl w:val="0"/>
        </w:rPr>
        <w:br w:type="textWrapping"/>
        <w:t xml:space="preserve">3. les différentes opérations sont réalisées conformément à des instructions et procédures préétablies</w:t>
      </w:r>
    </w:p>
    <w:p w:rsidR="00000000" w:rsidDel="00000000" w:rsidP="00000000" w:rsidRDefault="00000000" w:rsidRPr="00000000" w14:paraId="00000010">
      <w:pP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u w:val="single"/>
          <w:rtl w:val="0"/>
        </w:rPr>
        <w:t xml:space="preserve">Article 6</w:t>
      </w:r>
      <w:r w:rsidDel="00000000" w:rsidR="00000000" w:rsidRPr="00000000">
        <w:rPr>
          <w:rFonts w:ascii="Helvetica Neue" w:cs="Helvetica Neue" w:eastAsia="Helvetica Neue" w:hAnsi="Helvetica Neue"/>
          <w:b w:val="1"/>
          <w:sz w:val="22"/>
          <w:szCs w:val="22"/>
          <w:rtl w:val="0"/>
        </w:rPr>
        <w:br w:type="textWrapping"/>
        <w:t xml:space="preserve">Système de contrôle de la qualité :</w:t>
      </w:r>
      <w:r w:rsidDel="00000000" w:rsidR="00000000" w:rsidRPr="00000000">
        <w:rPr>
          <w:rFonts w:ascii="Helvetica Neue" w:cs="Helvetica Neue" w:eastAsia="Helvetica Neue" w:hAnsi="Helvetica Neue"/>
          <w:sz w:val="22"/>
          <w:szCs w:val="22"/>
          <w:rtl w:val="0"/>
        </w:rPr>
        <w:br w:type="textWrapping"/>
        <w:t xml:space="preserve">1. L'exploitant d'entreprise établit et maintien un système efficace de contrôle de la qualité</w:t>
        <w:br w:type="textWrapping"/>
        <w:br w:type="textWrapping"/>
        <w:t xml:space="preserve">2. Le système de contrôle de la qualité assure le contrôle de la mise en application et du respect des BPF et il définit des mesures correctrices en cas de non-respect des BPF. Ces mesures correctrices sont appliquées immédiatement et tenues à la disposition des autorités compétentes en vue des inspections.</w:t>
        <w:br w:type="textWrapping"/>
      </w:r>
    </w:p>
    <w:p w:rsidR="00000000" w:rsidDel="00000000" w:rsidP="00000000" w:rsidRDefault="00000000" w:rsidRPr="00000000" w14:paraId="0000001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b w:val="1"/>
          <w:sz w:val="22"/>
          <w:szCs w:val="22"/>
          <w:u w:val="single"/>
          <w:rtl w:val="0"/>
        </w:rPr>
        <w:t xml:space="preserve">Article 7</w:t>
      </w:r>
      <w:r w:rsidDel="00000000" w:rsidR="00000000" w:rsidRPr="00000000">
        <w:rPr>
          <w:rFonts w:ascii="Helvetica Neue" w:cs="Helvetica Neue" w:eastAsia="Helvetica Neue" w:hAnsi="Helvetica Neue"/>
          <w:b w:val="1"/>
          <w:sz w:val="22"/>
          <w:szCs w:val="22"/>
          <w:rtl w:val="0"/>
        </w:rPr>
        <w:br w:type="textWrapping"/>
        <w:t xml:space="preserve">Documentation :</w:t>
      </w:r>
      <w:r w:rsidDel="00000000" w:rsidR="00000000" w:rsidRPr="00000000">
        <w:rPr>
          <w:rFonts w:ascii="Helvetica Neue" w:cs="Helvetica Neue" w:eastAsia="Helvetica Neue" w:hAnsi="Helvetica Neue"/>
          <w:sz w:val="22"/>
          <w:szCs w:val="22"/>
          <w:rtl w:val="0"/>
        </w:rPr>
        <w:br w:type="textWrapping"/>
        <w:t xml:space="preserve">1. L'exploitant d'entreprise crée et tient une documentation appropriée en format papier ou électronique portant sur les spécifications, les formules de fabrication et les transformations qui présentent un intérêt du point de vue de la conformité et de la sécurité du matériau ou de l'objet fini.</w:t>
      </w:r>
    </w:p>
    <w:p w:rsidR="00000000" w:rsidDel="00000000" w:rsidP="00000000" w:rsidRDefault="00000000" w:rsidRPr="00000000" w14:paraId="00000015">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2. L'exploitant d'entreprise crée et tient une documentation appropriée en format papier ou électronique portant sur les informations relatives aux différentes opérations de fabrication effectuées qui présentent un intérêt du point de vue de la conformité de la sécurité du matériau ou de l'objet fini et sur les résultats du système de contrôle de la qualité.</w:t>
      </w:r>
    </w:p>
    <w:p w:rsidR="00000000" w:rsidDel="00000000" w:rsidP="00000000" w:rsidRDefault="00000000" w:rsidRPr="00000000" w14:paraId="00000017">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3. L'exploitant d'entreprise met la documentation à la disposition des autorités compétentes à la demande de celles-ci.</w:t>
      </w:r>
      <w:r w:rsidDel="00000000" w:rsidR="00000000" w:rsidRPr="00000000">
        <w:rPr>
          <w:rtl w:val="0"/>
        </w:rPr>
      </w:r>
    </w:p>
    <w:sectPr>
      <w:pgSz w:h="16840" w:w="11900" w:orient="portrait"/>
      <w:pgMar w:bottom="851" w:top="851" w:left="794" w:right="7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jxntj9sLmfFmS1szBwkQfM4dQ==">AMUW2mVgSufMRBXWnWIxhm3rLq55ZmLTiiZcLogfg+e+OujYFdymiuC18uy1XZ8+ry4PCTD6T6IL4qMds9g/KRfQGC+AevPeJ1uz6uSmQlqz0gjoPvnyO1IUnhKppLlVAHnxCrIo/7R8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2019-08-18T08:04:00Z</dcterms:created>
  <dc:creator>Gilles FORAY</dc:creator>
</cp:coreProperties>
</file>